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C00" w:rsidRPr="00463C00" w:rsidRDefault="00463C00" w:rsidP="00463C00">
      <w:pPr>
        <w:spacing w:line="360" w:lineRule="auto"/>
        <w:rPr>
          <w:sz w:val="24"/>
          <w:szCs w:val="24"/>
        </w:rPr>
      </w:pPr>
      <w:r>
        <w:rPr>
          <w:rFonts w:ascii="Sylfaen" w:hAnsi="Sylfaen"/>
          <w:sz w:val="24"/>
          <w:szCs w:val="24"/>
          <w:lang w:val="ka-GE"/>
        </w:rPr>
        <w:t xml:space="preserve"> </w:t>
      </w:r>
    </w:p>
    <w:p w:rsidR="00463C00" w:rsidRDefault="00463C00" w:rsidP="00463C00">
      <w:pPr>
        <w:spacing w:line="360" w:lineRule="auto"/>
        <w:rPr>
          <w:rFonts w:ascii="Sylfaen" w:hAnsi="Sylfaen"/>
          <w:sz w:val="32"/>
          <w:szCs w:val="32"/>
          <w:lang w:val="ka-GE"/>
        </w:rPr>
      </w:pPr>
      <w:r>
        <w:rPr>
          <w:rFonts w:ascii="Sylfaen" w:hAnsi="Sylfaen"/>
          <w:sz w:val="32"/>
          <w:szCs w:val="32"/>
          <w:lang w:val="ka-GE"/>
        </w:rPr>
        <w:t xml:space="preserve">       უნდობლობა დღეს მოქმედი რედაქციით</w:t>
      </w:r>
    </w:p>
    <w:p w:rsidR="00463C00" w:rsidRPr="00463C00" w:rsidRDefault="00463C00" w:rsidP="00463C00">
      <w:pPr>
        <w:spacing w:line="360" w:lineRule="auto"/>
        <w:rPr>
          <w:sz w:val="24"/>
          <w:szCs w:val="24"/>
        </w:rPr>
      </w:pPr>
      <w:r>
        <w:rPr>
          <w:rStyle w:val="FootnoteReference"/>
          <w:sz w:val="24"/>
          <w:szCs w:val="24"/>
        </w:rPr>
        <w:footnoteReference w:id="1"/>
      </w:r>
      <w:r>
        <w:rPr>
          <w:rFonts w:ascii="Sylfaen" w:hAnsi="Sylfaen"/>
          <w:sz w:val="24"/>
          <w:szCs w:val="24"/>
          <w:lang w:val="ka-GE"/>
        </w:rPr>
        <w:t xml:space="preserve">მთავრობისთვის უნდობლობის გამოცხადება ერთ-ერთი მნიშვნელოვანი კომპონენტია. თუმცა დროთ განმავლობაში უნდობლობის გამოცხადება იცვლებოდა და სხვადასხვა ქვეყანაშიც კი განსხვავებული წესით ხდებოდა. </w:t>
      </w:r>
    </w:p>
    <w:p w:rsidR="00463C00" w:rsidRDefault="00463C00" w:rsidP="00463C00">
      <w:pPr>
        <w:spacing w:line="360" w:lineRule="auto"/>
        <w:rPr>
          <w:rFonts w:ascii="Sylfaen" w:hAnsi="Sylfaen"/>
          <w:sz w:val="24"/>
          <w:szCs w:val="24"/>
          <w:lang w:val="ka-GE"/>
        </w:rPr>
      </w:pPr>
      <w:r>
        <w:rPr>
          <w:rFonts w:ascii="Sylfaen" w:hAnsi="Sylfaen"/>
          <w:sz w:val="24"/>
          <w:szCs w:val="24"/>
          <w:lang w:val="ka-GE"/>
        </w:rPr>
        <w:t>მთავრობის უნდობლობის გამოცხადების  საპარლამენტო კონტროლი ერთ-ერთი მთავარი მექანიზმია და პარლამენტის წინაშე საქართველოს მთავრობის პოლიტიკურ პასუხისმგებლობაზე მიუთითბს. უნდობლობის გამოცხადების პროცედურა წარიმართება საქართველოს კონსტიტუციისა და საქართველოს პარმალენტის რეგლამე</w:t>
      </w:r>
      <w:r w:rsidR="00F2726A">
        <w:rPr>
          <w:rFonts w:ascii="Sylfaen" w:hAnsi="Sylfaen"/>
          <w:sz w:val="24"/>
          <w:szCs w:val="24"/>
          <w:lang w:val="ka-GE"/>
        </w:rPr>
        <w:t>ნ</w:t>
      </w:r>
      <w:r>
        <w:rPr>
          <w:rFonts w:ascii="Sylfaen" w:hAnsi="Sylfaen"/>
          <w:sz w:val="24"/>
          <w:szCs w:val="24"/>
          <w:lang w:val="ka-GE"/>
        </w:rPr>
        <w:t>ტით განსაზღვრული წესის შესაბამისად. უნდობლობის გამოცხადება გულისხმობს მოქმედი მთავრობის შემადგენლობის მიმართ უნდობლობის გამოცხადებას, მთავრობის ახალი შემადგენლობის ჩამოყალიბების ნდობის გამოცხადების გზით. ხოლო რაც შეეხება კონსტრუქციულ ვოტუმს მთავრობის უნდობლობის გამოცხადებასთნ ერთად მოითხოვს პარლამენტისგან მთავრობის მეთაურის ახალი კანდიდატის დასახელებას. საქართველოს მთავრობის მიმართ უნდობლობის გამოცხადება იწყება უნდობლობის საკითხის აღძვრით.</w:t>
      </w:r>
    </w:p>
    <w:p w:rsidR="00463C00" w:rsidRDefault="00463C00" w:rsidP="00463C00">
      <w:pPr>
        <w:spacing w:line="360" w:lineRule="auto"/>
        <w:rPr>
          <w:rFonts w:ascii="Sylfaen" w:hAnsi="Sylfaen"/>
          <w:sz w:val="24"/>
          <w:szCs w:val="24"/>
          <w:lang w:val="ka-GE"/>
        </w:rPr>
      </w:pPr>
      <w:r>
        <w:rPr>
          <w:rStyle w:val="FootnoteReference"/>
          <w:sz w:val="24"/>
          <w:szCs w:val="24"/>
        </w:rPr>
        <w:footnoteReference w:id="2"/>
      </w:r>
      <w:r>
        <w:rPr>
          <w:rFonts w:ascii="Sylfaen" w:hAnsi="Sylfaen"/>
          <w:sz w:val="24"/>
          <w:szCs w:val="24"/>
          <w:lang w:val="ka-GE"/>
        </w:rPr>
        <w:t xml:space="preserve">საქართველოს </w:t>
      </w:r>
      <w:r w:rsidR="00F2726A">
        <w:rPr>
          <w:rFonts w:ascii="Sylfaen" w:hAnsi="Sylfaen"/>
          <w:sz w:val="24"/>
          <w:szCs w:val="24"/>
          <w:lang w:val="ka-GE"/>
        </w:rPr>
        <w:t>კ</w:t>
      </w:r>
      <w:r>
        <w:rPr>
          <w:rFonts w:ascii="Sylfaen" w:hAnsi="Sylfaen"/>
          <w:sz w:val="24"/>
          <w:szCs w:val="24"/>
          <w:lang w:val="ka-GE"/>
        </w:rPr>
        <w:t xml:space="preserve">ონსტიტუციის მიხედვით პარლამენტი უფლებამოსილია დაიწყოს მთვრობის გადაყენების ანუ უნდობლობის კონსტრუქციული ვოტუმის პროცედურა. კონსტრუქციულია იმიტომ რომ ის კი არ გადააყენებს მთავრობას და ამის შემდეგ შეუდგება ახლის ჩამოყალიბებას არამედ დაამტკიცებს მთავრობის </w:t>
      </w:r>
      <w:r w:rsidR="00F2726A">
        <w:rPr>
          <w:rFonts w:ascii="Sylfaen" w:hAnsi="Sylfaen"/>
          <w:sz w:val="24"/>
          <w:szCs w:val="24"/>
          <w:lang w:val="ka-GE"/>
        </w:rPr>
        <w:t>ა</w:t>
      </w:r>
      <w:r>
        <w:rPr>
          <w:rFonts w:ascii="Sylfaen" w:hAnsi="Sylfaen"/>
          <w:sz w:val="24"/>
          <w:szCs w:val="24"/>
          <w:lang w:val="ka-GE"/>
        </w:rPr>
        <w:t xml:space="preserve">ხალ შემადგენლობას რაც ავტომატურად ძველის სახლში გაშვებას ნიშნავს.  უნდობლობის საკითხის აღძვრისთვის საჭიროა პარლამენტის წევრთ სიითი შემადგენლობის ოთხი მეხუთედი. კენჭისყრის უნდობლობის საკითხის აღძვრა 60 დეპუტატის ინიციატივს დარეგისტრირებიდან არა უადრეს 20 და არა უგვინეს 25 დღისა. კენჭს უყრის პარლამენტი უნდობლობის გამოცხადება აღძრულად ჩაითველბა თუ </w:t>
      </w:r>
      <w:r>
        <w:rPr>
          <w:rFonts w:ascii="Sylfaen" w:hAnsi="Sylfaen"/>
          <w:sz w:val="24"/>
          <w:szCs w:val="24"/>
          <w:lang w:val="ka-GE"/>
        </w:rPr>
        <w:lastRenderedPageBreak/>
        <w:t>გადაწყვეტილება მხარს დაუჭერს ნახევარზე მეტი, ხოლო თუ ვერ მოხერხდა ხმების შეგროვება  პარლამენტისთვის მიმართვა კენჭისყრიდან ექვსი თვის განმავლობაში დაუშვებელია. უნდობლობის ინიციატორი 60 პარლამენტარი ვალდებულია, ხოლო დარჩენილი 60 დეპუტატს უფლება აქვს წამოაყენოს პრემიერ-მინისტრის საკუთარი კანდიდატურა. იმშემთხვევაში თუ სხვადასხვა წევრს აირჩვენ ამ შემთხვევაში ისინი ვალდებულნი არიან, რომ ორივეს კენჭი უყარონ. პრეზიდენტის პრემიერ-მინისტრის კანდიდატურა წარედგინება, თუ მხარს დაუჭერს პარლამენტის სიითი შემადგენლობოს ნახევარზე მეტი, ხოლო თუ ვერ მოხერხდა პრემიერ-მინისტრის კანდიდატურის წარდგენა უნდობლობის გამოცხადების პროცედურა შეწყდება.პრეზიდენტი უფლებამოსილია პრემიერ-მინისტრის კანდიდატურის წარდგენიდან 5 დღის ვადაში წამოაყენოს წარდგენილი პრემერ-მინისტრის კანდიდატურა. ეს 7 დღის ვადაში შეარჩევს კანდიდატურას და საქართველოს პარლამენტს წარუდგენენ. საქართველოს პარ;ლამენტი მრავრობის წარდგენიდან 7 დღის ვადაში განიხილავს და კენჭს უყრის მთავრობის შემადგენლობისთვის ნდობის გამოცხადების საკითხს რასაც კვლავ სიითი შემადგენლობის უმრავლესობა წყვეტს. ეეს ჩაითველბა ძველი მთვრობისთვის უნდობლობის გამოცხადებად რაც იწვევს მისი უფლებამოსილების შეწყვეტას. მთავროის ახალი შემადგენლობისტვის ნდობის გამოცხადებიდან 2 დღის ვადაში პრეზიდენტი ნიშნავს პრემიერ-მინისტრს, ხოლო პრემიერ-მინისტრი 2 დღის ვადაში მთავრობის სხვა წევრს. თუ აღნიშნულ ვადაში პასუხი არ იქნება მიღებული პრემიერ-მნოსტრი დანიშნულად ჩაითველბა. ასევე პრეზიდენტს აქვს იმის უფლება, რომ ვეტო დაადოს პრემიერ-მინისტრის იმ კანდიდატურას, რომელის მას პარლამენტი წარუდგენს. თუ პრემიერ-მინისტრის წარდგენიდან პროცედურა შეწყდა და საკმარისი ხმები ვერ მოგროვდა, ამ შემთხვევაში საკითხის ბოლომდე მისაყვანად ქვეყნის პირველ პირს უჩნდება უფლებამოსილება  3 დღის ვადაში დაითხოვოს პარლამენტი და რიგგარეშე არჩევნები დანიშნოს.</w:t>
      </w:r>
    </w:p>
    <w:p w:rsidR="00463C00" w:rsidRDefault="00463C00" w:rsidP="00463C00">
      <w:pPr>
        <w:spacing w:line="360" w:lineRule="auto"/>
        <w:rPr>
          <w:sz w:val="24"/>
          <w:szCs w:val="24"/>
        </w:rPr>
      </w:pPr>
    </w:p>
    <w:p w:rsidR="00463C00" w:rsidRPr="00C63DC2" w:rsidRDefault="00463C00" w:rsidP="00463C00">
      <w:pPr>
        <w:spacing w:line="360" w:lineRule="auto"/>
        <w:rPr>
          <w:rFonts w:ascii="Sylfaen" w:hAnsi="Sylfaen"/>
          <w:sz w:val="24"/>
          <w:szCs w:val="24"/>
          <w:lang w:val="ka-GE"/>
        </w:rPr>
      </w:pPr>
      <w:r>
        <w:rPr>
          <w:sz w:val="24"/>
          <w:szCs w:val="24"/>
        </w:rPr>
        <w:tab/>
      </w:r>
      <w:r>
        <w:rPr>
          <w:rFonts w:ascii="Sylfaen" w:hAnsi="Sylfaen"/>
          <w:sz w:val="24"/>
          <w:szCs w:val="24"/>
          <w:lang w:val="en-US"/>
        </w:rPr>
        <w:t xml:space="preserve">       </w:t>
      </w:r>
      <w:r>
        <w:rPr>
          <w:rFonts w:ascii="Sylfaen" w:hAnsi="Sylfaen"/>
          <w:sz w:val="24"/>
          <w:szCs w:val="24"/>
          <w:lang w:val="ka-GE"/>
        </w:rPr>
        <w:t>უნდობლობა გერმანიისა და პოლონეთის კონსტიტუციის მიხედვით</w:t>
      </w:r>
    </w:p>
    <w:p w:rsidR="00463C00" w:rsidRPr="00463C00" w:rsidRDefault="00463C00" w:rsidP="00463C00">
      <w:pPr>
        <w:tabs>
          <w:tab w:val="left" w:pos="1890"/>
        </w:tabs>
        <w:rPr>
          <w:rFonts w:ascii="Sylfaen" w:hAnsi="Sylfaen"/>
          <w:sz w:val="24"/>
          <w:szCs w:val="24"/>
        </w:rPr>
      </w:pPr>
      <w:r>
        <w:rPr>
          <w:rStyle w:val="FootnoteReference"/>
          <w:rFonts w:ascii="Sylfaen" w:hAnsi="Sylfaen"/>
          <w:sz w:val="24"/>
          <w:szCs w:val="24"/>
        </w:rPr>
        <w:lastRenderedPageBreak/>
        <w:footnoteReference w:id="3"/>
      </w:r>
      <w:r>
        <w:rPr>
          <w:rFonts w:ascii="Sylfaen" w:hAnsi="Sylfaen"/>
          <w:sz w:val="24"/>
          <w:szCs w:val="24"/>
          <w:lang w:val="ka-GE"/>
        </w:rPr>
        <w:t>უნდობლობის კონსტრუქციული ვოტუმის გათვლისწინება გერმანიის ფედერაციის ძირითად კანონში სწორედ მთავრობის სტაბილურობის უზრუნველყოფის მიზნით იყო განპირობებული. იდეა, რომლის არსიც იმაში მგდომარეობს, რომ ბუნდესტაგს შუძლია უნდობლობა გამოუცხადოს ფედერალურ კანცლერს თავისი წევრების უმრავლესობის მიერ მისი შემცვლელის არჩევით. დესტრუქციული ვოტუმისგან განსხვავებით კონსტრუქციული ვოტუმიც სტაბილურობის და სისტემის რაციონალიზაციის  მიზანს ემსახურება, რის გამოც გერმანული ნოვაცია შემგდომში ევროპის ძლიან ბევრმა სახელმწიფომ გაიზირა. მეორე მსოფლიოომის შემდეგ გერმანიამ ძალაუფლების გამიჯვნისა და შეკავება-გაწონასწორების სისტემის საკამოდ მძლავრი მექანიზმები ჩადო თავის ძირითად კანონში, რომელთაგან ცალკე აღნიშვნის ღირსა. გერმანული ნოვაცია მთავრობისადმი უნდობლობის ახალი კონსტრუქციული მექნიზმია, ხოლოო საბოოლოოდ უნდობლობის კონსტრუქციული ვოტუმის მთავარი იდეა დაფუძვნდა 1949 წელს გერმანიის ძირითადი კანონის 67-ე მუხლით. გერმანიაში არის ორპალატიანი პარლამენტი. პრაქტიკულია მხოლოდ ქვედა პალატააჩართული შესაბამის პროცედურაში. ხოლო ზედა პალატა საერთოდ არ მონაწილეობს მასში, რაც გარკვეულწილად პარლამენტარიზმის რაციონალიზაციის ორიცესს უკავშირდება და მიმართულია, ერთი მხრივ, მთავრობის სტაბილურობისკენ და, მეორე მხრივ, თავად ზედა პალატების ახლებული როლის განსაზღვრისკენ.უნდობლობის კონსტრუქციული ვოტუმის სამშობლოში ბუნდესტაგს შეუძლია უნდობლობა გამოუცხადოს ფედერალურ კანცლერს იმით, რომ წევრთა უმრავლესობით აირჩევს მის უფლებამონაცვლეს და ფედერალური კანცლერის გათავისუფლების თხოვნით მიმართავს ფედერალურ პრეზიდენტს. ფედერალური პრეზიდენტი ვალდებულია დააკმაყოფილოს აღნიშნული თხოვნა და დანიშნოს არჩეული პირი. თეუ ფედერალური კანცლერის მიმართვა, მისთვის ნდობის გამოცხაების შესახებ, ვერ მოიპვებს ბუნდესტაგის წევრთა უმრავლესობის თანხმობას, ფედერალურ პრეზიდენტა შეუძლია ფედერლური კალცლერის წინადადებიტ, ოცდაერთი დღის განმავლობაში დაითხოვოს ბუნდესტაგი. დატხოვნს უფლება წყდება, როგორც კი ბუნდესტაგი თავისი წევრების უმრავლესობით აირჩვს სხვა ფედერალურ კანცლერს.</w:t>
      </w:r>
    </w:p>
    <w:p w:rsidR="00463C00" w:rsidRPr="00C63DC2" w:rsidRDefault="00463C00" w:rsidP="00463C00">
      <w:pPr>
        <w:tabs>
          <w:tab w:val="left" w:pos="1890"/>
        </w:tabs>
        <w:rPr>
          <w:rFonts w:ascii="Sylfaen" w:hAnsi="Sylfaen"/>
          <w:sz w:val="24"/>
          <w:szCs w:val="24"/>
        </w:rPr>
      </w:pPr>
      <w:r>
        <w:rPr>
          <w:rFonts w:ascii="Sylfaen" w:hAnsi="Sylfaen"/>
          <w:sz w:val="24"/>
          <w:szCs w:val="24"/>
          <w:lang w:val="ka-GE"/>
        </w:rPr>
        <w:t xml:space="preserve">პოლონეთს რესპუბლიკის კონსტიტუციის თნხმად, „სეიმი“მინისტრათა საბჭოს უნდობლობის ვოტუმს უცხადებს დეპუტატთა კანონიერი რაოდენობის უმრავლესობით, რომელიც შეტანილია არანაკლებ 46 დეპუტატის მიერ და სადაც მითითებულია პრემიერ-მინისტრობის კანდიდატის ვინაობა.თუ სეიმი მიიღებს </w:t>
      </w:r>
      <w:r>
        <w:rPr>
          <w:rFonts w:ascii="Sylfaen" w:hAnsi="Sylfaen"/>
          <w:sz w:val="24"/>
          <w:szCs w:val="24"/>
          <w:lang w:val="ka-GE"/>
        </w:rPr>
        <w:lastRenderedPageBreak/>
        <w:t>დადგენილებას, რესპუბლიკის პრეზიდენტი იღებს მინისტრთა საბღოს გადადგომას და ნიშნავს სეიმის მიერ არჩეულ ახალპრემიერ-მინისტრს და მისი წინადადებით მინისტრთა საბჭოს დანარჩნ წევრებს, ასევე იღებს მათ ფიცს.</w:t>
      </w:r>
    </w:p>
    <w:p w:rsidR="00FF7445" w:rsidRDefault="00FF7445" w:rsidP="00463C00">
      <w:pPr>
        <w:tabs>
          <w:tab w:val="left" w:pos="2985"/>
        </w:tabs>
        <w:rPr>
          <w:sz w:val="24"/>
          <w:szCs w:val="24"/>
        </w:rPr>
      </w:pPr>
    </w:p>
    <w:p w:rsidR="00FF7445" w:rsidRPr="00FF7445" w:rsidRDefault="00FF7445" w:rsidP="00FF7445">
      <w:pPr>
        <w:rPr>
          <w:sz w:val="24"/>
          <w:szCs w:val="24"/>
        </w:rPr>
      </w:pPr>
    </w:p>
    <w:p w:rsidR="00FF7445" w:rsidRDefault="00FF7445" w:rsidP="00FF7445">
      <w:pPr>
        <w:rPr>
          <w:sz w:val="24"/>
          <w:szCs w:val="24"/>
        </w:rPr>
      </w:pPr>
    </w:p>
    <w:p w:rsidR="00FF7445" w:rsidRDefault="00FF7445" w:rsidP="00FF7445">
      <w:pPr>
        <w:tabs>
          <w:tab w:val="left" w:pos="1890"/>
        </w:tabs>
        <w:rPr>
          <w:rFonts w:ascii="Sylfaen" w:hAnsi="Sylfaen"/>
          <w:sz w:val="24"/>
          <w:szCs w:val="24"/>
          <w:lang w:val="ka-GE"/>
        </w:rPr>
      </w:pPr>
      <w:r>
        <w:rPr>
          <w:sz w:val="24"/>
          <w:szCs w:val="24"/>
        </w:rPr>
        <w:tab/>
      </w:r>
      <w:r>
        <w:rPr>
          <w:rFonts w:ascii="Sylfaen" w:hAnsi="Sylfaen"/>
          <w:sz w:val="24"/>
          <w:szCs w:val="24"/>
          <w:lang w:val="ka-GE"/>
        </w:rPr>
        <w:t xml:space="preserve">            </w:t>
      </w:r>
      <w:r w:rsidRPr="00C63DC2">
        <w:rPr>
          <w:rFonts w:ascii="Sylfaen" w:hAnsi="Sylfaen"/>
          <w:sz w:val="24"/>
          <w:szCs w:val="24"/>
        </w:rPr>
        <w:t xml:space="preserve">            </w:t>
      </w:r>
      <w:r>
        <w:rPr>
          <w:rFonts w:ascii="Sylfaen" w:hAnsi="Sylfaen"/>
          <w:sz w:val="32"/>
          <w:szCs w:val="32"/>
          <w:lang w:val="ka-GE"/>
        </w:rPr>
        <w:t>დასკვნა</w:t>
      </w:r>
    </w:p>
    <w:p w:rsidR="00FF7445" w:rsidRDefault="00FF7445" w:rsidP="00FF7445">
      <w:pPr>
        <w:rPr>
          <w:rFonts w:ascii="Sylfaen" w:hAnsi="Sylfaen"/>
          <w:sz w:val="24"/>
          <w:szCs w:val="24"/>
          <w:lang w:val="ka-GE"/>
        </w:rPr>
      </w:pPr>
    </w:p>
    <w:p w:rsidR="00FF7445" w:rsidRPr="00167159" w:rsidRDefault="0034077E" w:rsidP="00FF7445">
      <w:pPr>
        <w:rPr>
          <w:rFonts w:ascii="Sylfaen" w:hAnsi="Sylfaen"/>
          <w:sz w:val="24"/>
          <w:szCs w:val="24"/>
          <w:lang w:val="ka-GE"/>
        </w:rPr>
      </w:pPr>
      <w:r>
        <w:rPr>
          <w:rFonts w:ascii="Sylfaen" w:hAnsi="Sylfaen"/>
          <w:sz w:val="24"/>
          <w:szCs w:val="24"/>
          <w:lang w:val="ka-GE"/>
        </w:rPr>
        <w:t xml:space="preserve"> </w:t>
      </w:r>
      <w:bookmarkStart w:id="0" w:name="_GoBack"/>
      <w:bookmarkEnd w:id="0"/>
      <w:r w:rsidR="00FF7445">
        <w:rPr>
          <w:rFonts w:ascii="Sylfaen" w:hAnsi="Sylfaen"/>
          <w:sz w:val="24"/>
          <w:szCs w:val="24"/>
          <w:lang w:val="ka-GE"/>
        </w:rPr>
        <w:t>დასკვნის სახით შეიძლება ითქვა ის რომ მთავრობისთვს უნდობლოგის გამოცხადება ერთ-ერთი რთული და მნიშვნელობანია. როგორც ზმოთ არის აღნიშმულ ტექსტში ჩანს, რომ  უნდობლობის გამოცხადება საკლაოდ რთულია, იმისთვის რომ საკანონმდებლო ორგანომ მთავრობა სახლში გაუშვას ამისთვის მას რამდენჯერმე სჭირდება ხმების მობილიზება რაც დიდ სირთულეებტან და დიდ დროსთანაც არის დაკავშირებული.</w:t>
      </w:r>
      <w:r>
        <w:rPr>
          <w:rFonts w:ascii="Sylfaen" w:hAnsi="Sylfaen"/>
          <w:sz w:val="24"/>
          <w:szCs w:val="24"/>
          <w:lang w:val="ka-GE"/>
        </w:rPr>
        <w:t xml:space="preserve"> </w:t>
      </w:r>
    </w:p>
    <w:p w:rsidR="00B03518" w:rsidRPr="00FF7445" w:rsidRDefault="00B03518" w:rsidP="00FF7445">
      <w:pPr>
        <w:tabs>
          <w:tab w:val="left" w:pos="2295"/>
        </w:tabs>
        <w:rPr>
          <w:sz w:val="24"/>
          <w:szCs w:val="24"/>
        </w:rPr>
      </w:pPr>
    </w:p>
    <w:sectPr w:rsidR="00B03518" w:rsidRPr="00FF7445" w:rsidSect="00B035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172" w:rsidRDefault="00696172" w:rsidP="00463C00">
      <w:pPr>
        <w:spacing w:after="0" w:line="240" w:lineRule="auto"/>
      </w:pPr>
      <w:r>
        <w:separator/>
      </w:r>
    </w:p>
  </w:endnote>
  <w:endnote w:type="continuationSeparator" w:id="0">
    <w:p w:rsidR="00696172" w:rsidRDefault="00696172" w:rsidP="00463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172" w:rsidRDefault="00696172" w:rsidP="00463C00">
      <w:pPr>
        <w:spacing w:after="0" w:line="240" w:lineRule="auto"/>
      </w:pPr>
      <w:r>
        <w:separator/>
      </w:r>
    </w:p>
  </w:footnote>
  <w:footnote w:type="continuationSeparator" w:id="0">
    <w:p w:rsidR="00696172" w:rsidRDefault="00696172" w:rsidP="00463C00">
      <w:pPr>
        <w:spacing w:after="0" w:line="240" w:lineRule="auto"/>
      </w:pPr>
      <w:r>
        <w:continuationSeparator/>
      </w:r>
    </w:p>
  </w:footnote>
  <w:footnote w:id="1">
    <w:p w:rsidR="00463C00" w:rsidRPr="00463C00" w:rsidRDefault="00463C00" w:rsidP="00463C00">
      <w:pPr>
        <w:pStyle w:val="FootnoteText"/>
      </w:pPr>
      <w:r>
        <w:rPr>
          <w:rStyle w:val="FootnoteReference"/>
        </w:rPr>
        <w:footnoteRef/>
      </w:r>
      <w:r>
        <w:t xml:space="preserve"> </w:t>
      </w:r>
      <w:r w:rsidR="00FE6323">
        <w:fldChar w:fldCharType="begin"/>
      </w:r>
      <w:r>
        <w:rPr>
          <w:rFonts w:ascii="Sylfaen" w:hAnsi="Sylfaen"/>
          <w:lang w:val="ka-GE"/>
        </w:rPr>
        <w:instrText xml:space="preserve"> BIBLIOGRAPHY  \l 1079 </w:instrText>
      </w:r>
      <w:r w:rsidR="00FE6323">
        <w:fldChar w:fldCharType="separate"/>
      </w:r>
      <w:r>
        <w:rPr>
          <w:rFonts w:ascii="Sylfaen" w:hAnsi="Sylfaen" w:cs="Sylfaen"/>
          <w:noProof/>
          <w:lang w:val="ka-GE"/>
        </w:rPr>
        <w:t>გეგენავა</w:t>
      </w:r>
      <w:r>
        <w:rPr>
          <w:noProof/>
          <w:lang w:val="ka-GE"/>
        </w:rPr>
        <w:t xml:space="preserve">, </w:t>
      </w:r>
      <w:r>
        <w:rPr>
          <w:rFonts w:ascii="Sylfaen" w:hAnsi="Sylfaen" w:cs="Sylfaen"/>
          <w:noProof/>
          <w:lang w:val="ka-GE"/>
        </w:rPr>
        <w:t>დ</w:t>
      </w:r>
      <w:r>
        <w:rPr>
          <w:noProof/>
          <w:lang w:val="ka-GE"/>
        </w:rPr>
        <w:t xml:space="preserve">. (2019). </w:t>
      </w:r>
      <w:r>
        <w:rPr>
          <w:rFonts w:ascii="Sylfaen" w:hAnsi="Sylfaen" w:cs="Sylfaen"/>
          <w:i/>
          <w:iCs/>
          <w:noProof/>
          <w:lang w:val="ka-GE"/>
        </w:rPr>
        <w:t>შესავალი</w:t>
      </w:r>
      <w:r>
        <w:rPr>
          <w:i/>
          <w:iCs/>
          <w:noProof/>
          <w:lang w:val="ka-GE"/>
        </w:rPr>
        <w:t xml:space="preserve"> </w:t>
      </w:r>
      <w:r>
        <w:rPr>
          <w:rFonts w:ascii="Sylfaen" w:hAnsi="Sylfaen" w:cs="Sylfaen"/>
          <w:i/>
          <w:iCs/>
          <w:noProof/>
          <w:lang w:val="ka-GE"/>
        </w:rPr>
        <w:t>საქართველოს</w:t>
      </w:r>
      <w:r>
        <w:rPr>
          <w:i/>
          <w:iCs/>
          <w:noProof/>
          <w:lang w:val="ka-GE"/>
        </w:rPr>
        <w:t xml:space="preserve"> </w:t>
      </w:r>
      <w:r>
        <w:rPr>
          <w:rFonts w:ascii="Sylfaen" w:hAnsi="Sylfaen" w:cs="Sylfaen"/>
          <w:i/>
          <w:iCs/>
          <w:noProof/>
          <w:lang w:val="ka-GE"/>
        </w:rPr>
        <w:t>საკონსტიტუციო</w:t>
      </w:r>
      <w:r>
        <w:rPr>
          <w:i/>
          <w:iCs/>
          <w:noProof/>
          <w:lang w:val="ka-GE"/>
        </w:rPr>
        <w:t xml:space="preserve"> </w:t>
      </w:r>
      <w:r>
        <w:rPr>
          <w:rFonts w:ascii="Sylfaen" w:hAnsi="Sylfaen" w:cs="Sylfaen"/>
          <w:i/>
          <w:iCs/>
          <w:noProof/>
          <w:lang w:val="ka-GE"/>
        </w:rPr>
        <w:t>სამართალში</w:t>
      </w:r>
      <w:r>
        <w:rPr>
          <w:i/>
          <w:iCs/>
          <w:noProof/>
          <w:lang w:val="ka-GE"/>
        </w:rPr>
        <w:t>.</w:t>
      </w:r>
      <w:r>
        <w:rPr>
          <w:noProof/>
          <w:lang w:val="ka-GE"/>
        </w:rPr>
        <w:t xml:space="preserve"> </w:t>
      </w:r>
      <w:r>
        <w:rPr>
          <w:rFonts w:ascii="Sylfaen" w:hAnsi="Sylfaen" w:cs="Sylfaen"/>
          <w:noProof/>
          <w:lang w:val="ka-GE"/>
        </w:rPr>
        <w:t>თბილისი</w:t>
      </w:r>
      <w:r>
        <w:rPr>
          <w:noProof/>
          <w:lang w:val="ka-GE"/>
        </w:rPr>
        <w:t xml:space="preserve">: </w:t>
      </w:r>
      <w:r>
        <w:rPr>
          <w:rFonts w:ascii="Sylfaen" w:hAnsi="Sylfaen" w:cs="Sylfaen"/>
          <w:noProof/>
          <w:lang w:val="ka-GE"/>
        </w:rPr>
        <w:t>სულხან</w:t>
      </w:r>
      <w:r>
        <w:rPr>
          <w:noProof/>
          <w:lang w:val="ka-GE"/>
        </w:rPr>
        <w:t>-</w:t>
      </w:r>
      <w:r>
        <w:rPr>
          <w:rFonts w:ascii="Sylfaen" w:hAnsi="Sylfaen" w:cs="Sylfaen"/>
          <w:noProof/>
          <w:lang w:val="ka-GE"/>
        </w:rPr>
        <w:t>საბა</w:t>
      </w:r>
      <w:r>
        <w:rPr>
          <w:noProof/>
          <w:lang w:val="ka-GE"/>
        </w:rPr>
        <w:t xml:space="preserve"> </w:t>
      </w:r>
      <w:r>
        <w:rPr>
          <w:rFonts w:ascii="Sylfaen" w:hAnsi="Sylfaen" w:cs="Sylfaen"/>
          <w:noProof/>
          <w:lang w:val="ka-GE"/>
        </w:rPr>
        <w:t>ორბელიანის</w:t>
      </w:r>
      <w:r>
        <w:rPr>
          <w:noProof/>
          <w:lang w:val="ka-GE"/>
        </w:rPr>
        <w:t xml:space="preserve"> </w:t>
      </w:r>
      <w:r>
        <w:rPr>
          <w:rFonts w:ascii="Sylfaen" w:hAnsi="Sylfaen" w:cs="Sylfaen"/>
          <w:noProof/>
          <w:lang w:val="ka-GE"/>
        </w:rPr>
        <w:t>უნივერსიტეტი</w:t>
      </w:r>
      <w:r>
        <w:rPr>
          <w:noProof/>
          <w:lang w:val="ka-GE"/>
        </w:rPr>
        <w:t>.</w:t>
      </w:r>
    </w:p>
    <w:p w:rsidR="00463C00" w:rsidRPr="00463C00" w:rsidRDefault="00FE6323" w:rsidP="00463C00">
      <w:pPr>
        <w:pStyle w:val="FootnoteText"/>
        <w:rPr>
          <w:rFonts w:ascii="Sylfaen" w:hAnsi="Sylfaen"/>
          <w:lang w:val="ka-GE"/>
        </w:rPr>
      </w:pPr>
      <w:r>
        <w:fldChar w:fldCharType="end"/>
      </w:r>
    </w:p>
  </w:footnote>
  <w:footnote w:id="2">
    <w:p w:rsidR="00463C00" w:rsidRPr="00463C00" w:rsidRDefault="00463C00">
      <w:pPr>
        <w:pStyle w:val="FootnoteText"/>
        <w:rPr>
          <w:rFonts w:ascii="Sylfaen" w:hAnsi="Sylfaen"/>
          <w:lang w:val="ka-GE"/>
        </w:rPr>
      </w:pPr>
      <w:r>
        <w:rPr>
          <w:rStyle w:val="FootnoteReference"/>
        </w:rPr>
        <w:footnoteRef/>
      </w:r>
      <w:r>
        <w:t xml:space="preserve"> </w:t>
      </w:r>
      <w:hyperlink r:id="rId1" w:history="1">
        <w:r>
          <w:rPr>
            <w:rStyle w:val="Hyperlink"/>
          </w:rPr>
          <w:t>http://liberali.ge/blogs/view/6124/mtavrobistvis-undoblobis-gamotskhadebis-konstitutsiuri-protsedura?fbclid=IwAR10OEOy9xHoVCE0j7dMDt_P3Ka7hM-Qdie-mP252b4sv2Khxypp4jHtIgk</w:t>
        </w:r>
      </w:hyperlink>
    </w:p>
  </w:footnote>
  <w:footnote w:id="3">
    <w:p w:rsidR="00463C00" w:rsidRPr="00463C00" w:rsidRDefault="00463C00" w:rsidP="00463C00">
      <w:pPr>
        <w:pStyle w:val="FootnoteText"/>
        <w:rPr>
          <w:rFonts w:ascii="Sylfaen" w:hAnsi="Sylfaen"/>
          <w:lang w:val="ka-GE"/>
        </w:rPr>
      </w:pPr>
      <w:r>
        <w:rPr>
          <w:rStyle w:val="FootnoteReference"/>
        </w:rPr>
        <w:footnoteRef/>
      </w:r>
      <w:hyperlink r:id="rId2" w:history="1">
        <w:r w:rsidRPr="00463C00">
          <w:rPr>
            <w:rStyle w:val="Hyperlink"/>
            <w:lang w:val="ka-GE"/>
          </w:rPr>
          <w:t>http://press.tsu.ge/data/image_db_innova/%20%E1%83%A1%E1%83%90%E1%83%A5%E1%83%9B%E1%83%98%E1%83%90%E1%83%9C%E1%83%9D%E1%83%91%E1%83%90%E1%83%96%E1%83%94%20%E1%83%A1%E1%83%90%E1%83%9E%E1%83%90%E1%83%A0%E1%83%9A%E1%83%90%E1%83%9B%E1%83%94%E1%83%9C%E1%83%A2%E1%83%9D%20%E1%83%99%E1%83%9D%E1%83%9C%E1%83%A2%E1%83%A0%E1%83%9D%E1%83%9A%E1%83%98%20%E1%83%91%E1%83%98%E1%83%99%E1%83%90%E1%83%9B%E1%83%94%E1%83%A0%E1%83%90%E1%83%9A%E1%83%A3%E1%83%A0%20%E1%83%9E%E1%83%90%E1%83%A0%E1%83%9A%E1%83%90%E1%83%9B%E1%83%94%E1%83%9C%E1%83%A2%E1%83%A8%E1%83%98-asatvirti.pdf?fbclid=IwAR1Y9ar1og9eoMPpg-YzxptBh8HC5bgj6IkiZl5Iw9AgFyi_fEgJKllW2-c</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63C00"/>
    <w:rsid w:val="00031D21"/>
    <w:rsid w:val="0034077E"/>
    <w:rsid w:val="00463C00"/>
    <w:rsid w:val="00696172"/>
    <w:rsid w:val="00B03518"/>
    <w:rsid w:val="00D85099"/>
    <w:rsid w:val="00F2726A"/>
    <w:rsid w:val="00FE6323"/>
    <w:rsid w:val="00FF7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68209E-000C-4525-9885-2B8E2975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C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463C00"/>
  </w:style>
  <w:style w:type="paragraph" w:styleId="BalloonText">
    <w:name w:val="Balloon Text"/>
    <w:basedOn w:val="Normal"/>
    <w:link w:val="BalloonTextChar"/>
    <w:uiPriority w:val="99"/>
    <w:semiHidden/>
    <w:unhideWhenUsed/>
    <w:rsid w:val="00463C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C00"/>
    <w:rPr>
      <w:rFonts w:ascii="Tahoma" w:hAnsi="Tahoma" w:cs="Tahoma"/>
      <w:sz w:val="16"/>
      <w:szCs w:val="16"/>
    </w:rPr>
  </w:style>
  <w:style w:type="paragraph" w:styleId="FootnoteText">
    <w:name w:val="footnote text"/>
    <w:basedOn w:val="Normal"/>
    <w:link w:val="FootnoteTextChar"/>
    <w:uiPriority w:val="99"/>
    <w:unhideWhenUsed/>
    <w:rsid w:val="00463C00"/>
    <w:pPr>
      <w:spacing w:after="0" w:line="240" w:lineRule="auto"/>
    </w:pPr>
    <w:rPr>
      <w:sz w:val="20"/>
      <w:szCs w:val="20"/>
    </w:rPr>
  </w:style>
  <w:style w:type="character" w:customStyle="1" w:styleId="FootnoteTextChar">
    <w:name w:val="Footnote Text Char"/>
    <w:basedOn w:val="DefaultParagraphFont"/>
    <w:link w:val="FootnoteText"/>
    <w:uiPriority w:val="99"/>
    <w:rsid w:val="00463C00"/>
    <w:rPr>
      <w:sz w:val="20"/>
      <w:szCs w:val="20"/>
    </w:rPr>
  </w:style>
  <w:style w:type="character" w:styleId="FootnoteReference">
    <w:name w:val="footnote reference"/>
    <w:basedOn w:val="DefaultParagraphFont"/>
    <w:uiPriority w:val="99"/>
    <w:semiHidden/>
    <w:unhideWhenUsed/>
    <w:rsid w:val="00463C00"/>
    <w:rPr>
      <w:vertAlign w:val="superscript"/>
    </w:rPr>
  </w:style>
  <w:style w:type="character" w:styleId="Hyperlink">
    <w:name w:val="Hyperlink"/>
    <w:basedOn w:val="DefaultParagraphFont"/>
    <w:uiPriority w:val="99"/>
    <w:semiHidden/>
    <w:unhideWhenUsed/>
    <w:rsid w:val="00463C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press.tsu.ge/data/image_db_innova/%20%E1%83%A1%E1%83%90%E1%83%A5%E1%83%9B%E1%83%98%E1%83%90%E1%83%9C%E1%83%9D%E1%83%91%E1%83%90%E1%83%96%E1%83%94%20%E1%83%A1%E1%83%90%E1%83%9E%E1%83%90%E1%83%A0%E1%83%9A%E1%83%90%E1%83%9B%E1%83%94%E1%83%9C%E1%83%A2%E1%83%9D%20%E1%83%99%E1%83%9D%E1%83%9C%E1%83%A2%E1%83%A0%E1%83%9D%E1%83%9A%E1%83%98%20%E1%83%91%E1%83%98%E1%83%99%E1%83%90%E1%83%9B%E1%83%94%E1%83%A0%E1%83%90%E1%83%9A%E1%83%A3%E1%83%A0%20%E1%83%9E%E1%83%90%E1%83%A0%E1%83%9A%E1%83%90%E1%83%9B%E1%83%94%E1%83%9C%E1%83%A2%E1%83%A8%E1%83%98-asatvirti.pdf?fbclid=IwAR1Y9ar1og9eoMPpg-YzxptBh8HC5bgj6IkiZl5Iw9AgFyi_fEgJKllW2-c" TargetMode="External"/><Relationship Id="rId1" Type="http://schemas.openxmlformats.org/officeDocument/2006/relationships/hyperlink" Target="http://liberali.ge/blogs/view/6124/mtavrobistvis-undoblobis-gamotskhadebis-konstitutsiuri-protsedura?fbclid=IwAR10OEOy9xHoVCE0j7dMDt_P3Ka7hM-Qdie-mP252b4sv2Khxypp4jHtIg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19</b:Tag>
    <b:SourceType>Book</b:SourceType>
    <b:Guid>{DA880291-1B7F-4B8D-96D1-399BFA74CDB6}</b:Guid>
    <b:Author>
      <b:Author>
        <b:NameList>
          <b:Person>
            <b:Last>გეგენავა</b:Last>
            <b:First>დიმიდტი</b:First>
          </b:Person>
        </b:NameList>
      </b:Author>
    </b:Author>
    <b:Title>შესავალი საქართველოს საკონსტიტუციო სამართალში</b:Title>
    <b:Year>2019</b:Year>
    <b:City>თბილისი</b:City>
    <b:Publisher>სულხან-საბა ორბელიანის უნივერსიტეტი</b:Publisher>
    <b:RefOrder>1</b:RefOrder>
  </b:Source>
</b:Sources>
</file>

<file path=customXml/itemProps1.xml><?xml version="1.0" encoding="utf-8"?>
<ds:datastoreItem xmlns:ds="http://schemas.openxmlformats.org/officeDocument/2006/customXml" ds:itemID="{E0346735-892A-4460-9FFB-BB21A597F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916</Words>
  <Characters>5224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5</cp:revision>
  <dcterms:created xsi:type="dcterms:W3CDTF">2019-07-02T15:02:00Z</dcterms:created>
  <dcterms:modified xsi:type="dcterms:W3CDTF">2019-07-04T19:22:00Z</dcterms:modified>
</cp:coreProperties>
</file>